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6006A" w14:textId="44954DA7" w:rsidR="009C53D6" w:rsidRPr="009C53D6" w:rsidRDefault="009C53D6" w:rsidP="009C53D6">
      <w:pPr>
        <w:suppressAutoHyphens w:val="0"/>
        <w:spacing w:after="150"/>
        <w:jc w:val="both"/>
        <w:rPr>
          <w:rFonts w:ascii="&amp;quot" w:hAnsi="&amp;quot"/>
          <w:color w:val="333333"/>
          <w:sz w:val="32"/>
          <w:szCs w:val="32"/>
          <w:lang w:eastAsia="pl-PL"/>
        </w:rPr>
      </w:pPr>
      <w:r w:rsidRPr="009C53D6">
        <w:rPr>
          <w:rFonts w:ascii="&amp;quot" w:hAnsi="&amp;quot"/>
          <w:b/>
          <w:bCs/>
          <w:color w:val="333333"/>
          <w:sz w:val="32"/>
          <w:szCs w:val="32"/>
          <w:lang w:eastAsia="pl-PL"/>
        </w:rPr>
        <w:t xml:space="preserve">KIEDY DANY OBSZAR JEST UZNANY ZA DOTKNIĘTY NIEKORZYSTNYM ZJAWISKIEM ATMOSFERYCZNYM </w:t>
      </w:r>
      <w:r w:rsidR="00F8358D">
        <w:rPr>
          <w:rFonts w:ascii="&amp;quot" w:hAnsi="&amp;quot"/>
          <w:b/>
          <w:bCs/>
          <w:color w:val="333333"/>
          <w:sz w:val="32"/>
          <w:szCs w:val="32"/>
          <w:lang w:eastAsia="pl-PL"/>
        </w:rPr>
        <w:t>?</w:t>
      </w:r>
    </w:p>
    <w:p w14:paraId="500AADF6" w14:textId="77777777" w:rsidR="009C53D6" w:rsidRPr="009C53D6" w:rsidRDefault="009C53D6" w:rsidP="009C53D6">
      <w:pPr>
        <w:suppressAutoHyphens w:val="0"/>
        <w:spacing w:after="150"/>
        <w:jc w:val="both"/>
        <w:rPr>
          <w:rFonts w:ascii="&amp;quot" w:hAnsi="&amp;quot"/>
          <w:color w:val="333333"/>
          <w:sz w:val="32"/>
          <w:szCs w:val="32"/>
          <w:lang w:eastAsia="pl-PL"/>
        </w:rPr>
      </w:pPr>
      <w:r w:rsidRPr="009C53D6">
        <w:rPr>
          <w:rFonts w:ascii="&amp;quot" w:hAnsi="&amp;quot"/>
          <w:color w:val="333333"/>
          <w:sz w:val="32"/>
          <w:szCs w:val="32"/>
          <w:lang w:eastAsia="pl-PL"/>
        </w:rPr>
        <w:br/>
        <w:t>Aby gospodarstwo rolne lub dział specjalny produkcji rolnej został uznany za dotknięty niekorzystnym zjawiskiem atmosferycznym (suszą, gradem, deszczem nawalnym, ujemnymi skutkami przezimowania, przymrozkami wiosennymi, powodzią, huraganem, piorunem, obsunięciem się ziemi lub lawiną) muszą zostać spełnione następujące warunki:</w:t>
      </w:r>
    </w:p>
    <w:p w14:paraId="44C08CD6" w14:textId="77777777" w:rsidR="009C53D6" w:rsidRPr="009C53D6" w:rsidRDefault="009C53D6" w:rsidP="009C53D6">
      <w:pPr>
        <w:numPr>
          <w:ilvl w:val="0"/>
          <w:numId w:val="1"/>
        </w:numPr>
        <w:suppressAutoHyphens w:val="0"/>
        <w:spacing w:before="100" w:beforeAutospacing="1" w:after="100" w:afterAutospacing="1"/>
        <w:rPr>
          <w:rFonts w:ascii="&amp;quot" w:hAnsi="&amp;quot"/>
          <w:color w:val="333333"/>
          <w:sz w:val="32"/>
          <w:szCs w:val="32"/>
          <w:lang w:eastAsia="pl-PL"/>
        </w:rPr>
      </w:pPr>
      <w:r w:rsidRPr="009C53D6">
        <w:rPr>
          <w:rFonts w:ascii="&amp;quot" w:hAnsi="&amp;quot"/>
          <w:color w:val="333333"/>
          <w:sz w:val="32"/>
          <w:szCs w:val="32"/>
          <w:lang w:eastAsia="pl-PL"/>
        </w:rPr>
        <w:t>Gospodarstwo rolne winno posiadać minimalną powierzchnię- 1 ha fizyczny lub przeliczeniowy.</w:t>
      </w:r>
    </w:p>
    <w:p w14:paraId="29E7B8BF" w14:textId="77777777" w:rsidR="009C53D6" w:rsidRPr="009C53D6" w:rsidRDefault="009C53D6" w:rsidP="009C53D6">
      <w:pPr>
        <w:numPr>
          <w:ilvl w:val="0"/>
          <w:numId w:val="1"/>
        </w:numPr>
        <w:suppressAutoHyphens w:val="0"/>
        <w:spacing w:before="100" w:beforeAutospacing="1" w:after="100" w:afterAutospacing="1"/>
        <w:rPr>
          <w:rFonts w:ascii="&amp;quot" w:hAnsi="&amp;quot"/>
          <w:color w:val="333333"/>
          <w:sz w:val="32"/>
          <w:szCs w:val="32"/>
          <w:lang w:eastAsia="pl-PL"/>
        </w:rPr>
      </w:pPr>
      <w:r w:rsidRPr="009C53D6">
        <w:rPr>
          <w:rFonts w:ascii="&amp;quot" w:hAnsi="&amp;quot"/>
          <w:color w:val="333333"/>
          <w:sz w:val="32"/>
          <w:szCs w:val="32"/>
          <w:lang w:eastAsia="pl-PL"/>
        </w:rPr>
        <w:t>Minimalna powierzchnia jednolitej uprawy na działce, na której zostały uszkodzone uprawy, nie może być mniejsza niż 0,1 ha.</w:t>
      </w:r>
    </w:p>
    <w:p w14:paraId="39A74A68" w14:textId="77777777" w:rsidR="009C53D6" w:rsidRPr="009C53D6" w:rsidRDefault="009C53D6" w:rsidP="009C53D6">
      <w:pPr>
        <w:pStyle w:val="NormalnyWeb"/>
        <w:spacing w:before="0" w:beforeAutospacing="0" w:after="150" w:afterAutospacing="0"/>
        <w:jc w:val="both"/>
        <w:rPr>
          <w:rStyle w:val="Pogrubienie"/>
          <w:sz w:val="32"/>
          <w:szCs w:val="32"/>
        </w:rPr>
      </w:pPr>
    </w:p>
    <w:p w14:paraId="61DE5B82" w14:textId="77777777" w:rsidR="009C53D6" w:rsidRPr="009C53D6" w:rsidRDefault="009C53D6" w:rsidP="009C53D6">
      <w:pPr>
        <w:pStyle w:val="NormalnyWeb"/>
        <w:spacing w:before="0" w:beforeAutospacing="0" w:after="150" w:afterAutospacing="0"/>
        <w:jc w:val="both"/>
        <w:rPr>
          <w:rStyle w:val="Pogrubienie"/>
          <w:rFonts w:ascii="&amp;quot" w:hAnsi="&amp;quot"/>
          <w:color w:val="333333"/>
          <w:sz w:val="32"/>
          <w:szCs w:val="32"/>
        </w:rPr>
      </w:pPr>
    </w:p>
    <w:p w14:paraId="2A69815D" w14:textId="77777777" w:rsidR="009C53D6" w:rsidRPr="009C53D6" w:rsidRDefault="009C53D6" w:rsidP="009C53D6">
      <w:pPr>
        <w:pStyle w:val="NormalnyWeb"/>
        <w:spacing w:before="0" w:beforeAutospacing="0" w:after="150" w:afterAutospacing="0"/>
        <w:jc w:val="both"/>
        <w:rPr>
          <w:sz w:val="32"/>
          <w:szCs w:val="32"/>
        </w:rPr>
      </w:pPr>
      <w:r w:rsidRPr="009C53D6">
        <w:rPr>
          <w:rStyle w:val="Pogrubienie"/>
          <w:rFonts w:ascii="&amp;quot" w:hAnsi="&amp;quot"/>
          <w:color w:val="333333"/>
          <w:sz w:val="32"/>
          <w:szCs w:val="32"/>
        </w:rPr>
        <w:t>CO POWINIEN ZROBIĆ ROLNIK PO STWIERDZENIU SZKÓD W JEGO GOSPODARSTWIE</w:t>
      </w:r>
    </w:p>
    <w:p w14:paraId="2C949F48" w14:textId="77777777" w:rsidR="009C53D6" w:rsidRPr="009C53D6" w:rsidRDefault="009C53D6" w:rsidP="009C53D6">
      <w:pPr>
        <w:pStyle w:val="NormalnyWeb"/>
        <w:spacing w:before="0" w:beforeAutospacing="0" w:after="150" w:afterAutospacing="0"/>
        <w:jc w:val="both"/>
        <w:rPr>
          <w:sz w:val="32"/>
          <w:szCs w:val="32"/>
        </w:rPr>
      </w:pPr>
      <w:r w:rsidRPr="009C53D6">
        <w:rPr>
          <w:sz w:val="32"/>
          <w:szCs w:val="32"/>
        </w:rPr>
        <w:br/>
        <w:t xml:space="preserve">Po stwierdzeniu szkód w gospodarstwie rolnym w wyniku suszy, gradu, deszczu nawalnego, ujemnych skutków przezimowania, przymrozków wiosennych, powodzi, huraganu, pioruna, obsunięcia się ziemi lub lawiny, </w:t>
      </w:r>
      <w:r w:rsidRPr="009C53D6">
        <w:rPr>
          <w:rStyle w:val="Pogrubienie"/>
          <w:rFonts w:ascii="&amp;quot" w:hAnsi="&amp;quot"/>
          <w:sz w:val="32"/>
          <w:szCs w:val="32"/>
        </w:rPr>
        <w:t>rolnik powinien poinformować pisemnie o wystąpieniu szkód</w:t>
      </w:r>
      <w:r w:rsidRPr="009C53D6">
        <w:rPr>
          <w:sz w:val="32"/>
          <w:szCs w:val="32"/>
        </w:rPr>
        <w:t xml:space="preserve"> urząd gminy (miasta), właściwy ze względu na położenie swoich gruntów. </w:t>
      </w:r>
    </w:p>
    <w:p w14:paraId="5CAF6678" w14:textId="77777777" w:rsidR="009C53D6" w:rsidRPr="009C53D6" w:rsidRDefault="009C53D6" w:rsidP="009C53D6">
      <w:pPr>
        <w:pStyle w:val="NormalnyWeb"/>
        <w:spacing w:before="0" w:beforeAutospacing="0" w:after="150" w:afterAutospacing="0"/>
        <w:jc w:val="both"/>
        <w:rPr>
          <w:rFonts w:ascii="&amp;quot" w:hAnsi="&amp;quot"/>
          <w:color w:val="333333"/>
          <w:sz w:val="32"/>
          <w:szCs w:val="32"/>
        </w:rPr>
      </w:pPr>
      <w:r w:rsidRPr="009C53D6">
        <w:rPr>
          <w:rFonts w:ascii="&amp;quot" w:hAnsi="&amp;quot"/>
          <w:color w:val="333333"/>
          <w:sz w:val="32"/>
          <w:szCs w:val="32"/>
        </w:rPr>
        <w:t>W przypadku, gdy rolnik posiada grunty rolne na terenie kilku gmin, o wystąpieniu szkód musi powiadomić wszystkie, właściwe ze względu na położenie gruntów, urzędy gmin (miast).</w:t>
      </w:r>
    </w:p>
    <w:p w14:paraId="5604EB52" w14:textId="77777777" w:rsidR="009C53D6" w:rsidRDefault="009C53D6" w:rsidP="009C53D6">
      <w:pPr>
        <w:pStyle w:val="NormalnyWeb"/>
        <w:spacing w:before="0" w:beforeAutospacing="0" w:after="150" w:afterAutospacing="0"/>
        <w:jc w:val="both"/>
        <w:rPr>
          <w:rFonts w:ascii="&amp;quot" w:hAnsi="&amp;quot"/>
          <w:color w:val="333333"/>
          <w:sz w:val="32"/>
          <w:szCs w:val="32"/>
        </w:rPr>
      </w:pPr>
      <w:r w:rsidRPr="009C53D6">
        <w:rPr>
          <w:rFonts w:ascii="&amp;quot" w:hAnsi="&amp;quot"/>
          <w:color w:val="333333"/>
          <w:sz w:val="32"/>
          <w:szCs w:val="32"/>
        </w:rPr>
        <w:t xml:space="preserve">Ponadto powinien podać dane o produkcji i szkodach w poszczególnych gminach na zbiorczym zestawieniu (Załącznik nr I.1 do wniosku rolnika), które przekazuje do gminy właściwej ze względu na położenie największej części gospodarstwa spośród gmin w których wystąpiły szkody. </w:t>
      </w:r>
    </w:p>
    <w:p w14:paraId="41CAD05A" w14:textId="77777777" w:rsidR="009C53D6" w:rsidRDefault="009C53D6" w:rsidP="009C53D6">
      <w:pPr>
        <w:pStyle w:val="NormalnyWeb"/>
        <w:spacing w:before="0" w:beforeAutospacing="0" w:after="150" w:afterAutospacing="0"/>
        <w:jc w:val="both"/>
        <w:rPr>
          <w:rFonts w:ascii="&amp;quot" w:hAnsi="&amp;quot"/>
          <w:color w:val="333333"/>
          <w:sz w:val="32"/>
          <w:szCs w:val="32"/>
        </w:rPr>
      </w:pPr>
      <w:r w:rsidRPr="009C53D6">
        <w:rPr>
          <w:rFonts w:ascii="&amp;quot" w:hAnsi="&amp;quot"/>
          <w:color w:val="333333"/>
          <w:sz w:val="32"/>
          <w:szCs w:val="32"/>
        </w:rPr>
        <w:lastRenderedPageBreak/>
        <w:br/>
        <w:t xml:space="preserve">Zgłoszenie o wystąpieniu szkód rolnik powinien złożyć w urzędzie gminy (miasta) na obowiązującym wniosku o szacowanie szkód (Załącznik nr I), dostępnym również w urzędach gmin (miast). W zależności od rodzaju poniesionych szkód rolnik ma obowiązek wraz z wnioskiem wypełnić odpowiednie załączniki (załącznik I.2-I.9). Wniosek wraz z załącznikami należy złożyć, w terminie do 10 dni od dnia wystąpienia niekorzystnego zjawiska atmosferycznego. Wniosek należy wypełnić czytelnie (drukowanymi literami) oraz wpisać wszystkie wymagane dane. Brak pełnych danych będzie skutkował odrzuceniem wniosku z przyczyn formalnych. Do wniosku należy dołączyć również inne wymagane dokumenty, np. kopię wniosku złożonego do ARiMR o płatności w ramach wsparcia bezpośredniego, wydruk z Systemu Identyfikacji i Rejestracji Zwierząt (IRZ). </w:t>
      </w:r>
    </w:p>
    <w:p w14:paraId="4FFAF737" w14:textId="1CA7F200" w:rsidR="009C53D6" w:rsidRPr="009C53D6" w:rsidRDefault="009C53D6" w:rsidP="009C53D6">
      <w:pPr>
        <w:pStyle w:val="NormalnyWeb"/>
        <w:spacing w:before="0" w:beforeAutospacing="0" w:after="150" w:afterAutospacing="0"/>
        <w:jc w:val="both"/>
        <w:rPr>
          <w:rFonts w:ascii="&amp;quot" w:hAnsi="&amp;quot"/>
          <w:color w:val="333333"/>
          <w:sz w:val="32"/>
          <w:szCs w:val="32"/>
        </w:rPr>
      </w:pPr>
      <w:r w:rsidRPr="009C53D6">
        <w:rPr>
          <w:rFonts w:ascii="&amp;quot" w:hAnsi="&amp;quot"/>
          <w:color w:val="333333"/>
          <w:sz w:val="32"/>
          <w:szCs w:val="32"/>
        </w:rPr>
        <w:br/>
        <w:t xml:space="preserve">Rolnik składając pod wnioskiem własnoręczny podpis wyraża jednocześnie zgodę na przetwarzanie danych osobowych oraz oświadcza, ze znane są mu skutki składania fałszywych oświadczeń. </w:t>
      </w:r>
    </w:p>
    <w:p w14:paraId="69EAC8DA" w14:textId="50BF0BF9" w:rsidR="009C53D6" w:rsidRDefault="009C53D6" w:rsidP="009C53D6">
      <w:pPr>
        <w:pStyle w:val="NormalnyWeb"/>
        <w:spacing w:before="0" w:beforeAutospacing="0" w:after="150" w:afterAutospacing="0"/>
        <w:jc w:val="both"/>
        <w:rPr>
          <w:rStyle w:val="Pogrubienie"/>
          <w:sz w:val="32"/>
          <w:szCs w:val="32"/>
        </w:rPr>
      </w:pPr>
    </w:p>
    <w:p w14:paraId="4C3B3612" w14:textId="5FA63183" w:rsidR="00F8358D" w:rsidRDefault="00F8358D" w:rsidP="009C53D6">
      <w:pPr>
        <w:pStyle w:val="NormalnyWeb"/>
        <w:spacing w:before="0" w:beforeAutospacing="0" w:after="150" w:afterAutospacing="0"/>
        <w:jc w:val="both"/>
        <w:rPr>
          <w:rStyle w:val="Pogrubienie"/>
          <w:sz w:val="32"/>
          <w:szCs w:val="32"/>
        </w:rPr>
      </w:pPr>
    </w:p>
    <w:p w14:paraId="05C65698" w14:textId="24F4BD31" w:rsidR="0030486E" w:rsidRDefault="0030486E" w:rsidP="009C53D6">
      <w:pPr>
        <w:pStyle w:val="NormalnyWeb"/>
        <w:spacing w:before="0" w:beforeAutospacing="0" w:after="150" w:afterAutospacing="0"/>
        <w:jc w:val="both"/>
        <w:rPr>
          <w:rStyle w:val="Pogrubienie"/>
          <w:sz w:val="32"/>
          <w:szCs w:val="32"/>
        </w:rPr>
      </w:pPr>
    </w:p>
    <w:p w14:paraId="5C0ACE93" w14:textId="25A3CC13" w:rsidR="0030486E" w:rsidRDefault="0030486E" w:rsidP="009C53D6">
      <w:pPr>
        <w:pStyle w:val="NormalnyWeb"/>
        <w:spacing w:before="0" w:beforeAutospacing="0" w:after="150" w:afterAutospacing="0"/>
        <w:jc w:val="both"/>
        <w:rPr>
          <w:rStyle w:val="Pogrubienie"/>
          <w:sz w:val="32"/>
          <w:szCs w:val="32"/>
        </w:rPr>
      </w:pPr>
    </w:p>
    <w:p w14:paraId="17D8B33F" w14:textId="6F613028" w:rsidR="0030486E" w:rsidRDefault="0030486E" w:rsidP="009C53D6">
      <w:pPr>
        <w:pStyle w:val="NormalnyWeb"/>
        <w:spacing w:before="0" w:beforeAutospacing="0" w:after="150" w:afterAutospacing="0"/>
        <w:jc w:val="both"/>
        <w:rPr>
          <w:rStyle w:val="Pogrubienie"/>
          <w:sz w:val="32"/>
          <w:szCs w:val="32"/>
        </w:rPr>
      </w:pPr>
    </w:p>
    <w:p w14:paraId="7E81582D" w14:textId="4320BB0C" w:rsidR="0030486E" w:rsidRDefault="0030486E" w:rsidP="009C53D6">
      <w:pPr>
        <w:pStyle w:val="NormalnyWeb"/>
        <w:spacing w:before="0" w:beforeAutospacing="0" w:after="150" w:afterAutospacing="0"/>
        <w:jc w:val="both"/>
        <w:rPr>
          <w:rStyle w:val="Pogrubienie"/>
          <w:sz w:val="32"/>
          <w:szCs w:val="32"/>
        </w:rPr>
      </w:pPr>
    </w:p>
    <w:p w14:paraId="59B48935" w14:textId="7E00ABE3" w:rsidR="0030486E" w:rsidRDefault="0030486E" w:rsidP="009C53D6">
      <w:pPr>
        <w:pStyle w:val="NormalnyWeb"/>
        <w:spacing w:before="0" w:beforeAutospacing="0" w:after="150" w:afterAutospacing="0"/>
        <w:jc w:val="both"/>
        <w:rPr>
          <w:rStyle w:val="Pogrubienie"/>
          <w:sz w:val="32"/>
          <w:szCs w:val="32"/>
        </w:rPr>
      </w:pPr>
    </w:p>
    <w:p w14:paraId="7ACF2A68" w14:textId="789ADD3A" w:rsidR="0030486E" w:rsidRDefault="0030486E" w:rsidP="009C53D6">
      <w:pPr>
        <w:pStyle w:val="NormalnyWeb"/>
        <w:spacing w:before="0" w:beforeAutospacing="0" w:after="150" w:afterAutospacing="0"/>
        <w:jc w:val="both"/>
        <w:rPr>
          <w:rStyle w:val="Pogrubienie"/>
          <w:sz w:val="32"/>
          <w:szCs w:val="32"/>
        </w:rPr>
      </w:pPr>
    </w:p>
    <w:p w14:paraId="6825E73D" w14:textId="11250207" w:rsidR="0030486E" w:rsidRDefault="0030486E" w:rsidP="009C53D6">
      <w:pPr>
        <w:pStyle w:val="NormalnyWeb"/>
        <w:spacing w:before="0" w:beforeAutospacing="0" w:after="150" w:afterAutospacing="0"/>
        <w:jc w:val="both"/>
        <w:rPr>
          <w:rStyle w:val="Pogrubienie"/>
          <w:sz w:val="32"/>
          <w:szCs w:val="32"/>
        </w:rPr>
      </w:pPr>
    </w:p>
    <w:p w14:paraId="53CB8B7A" w14:textId="42B2A55B" w:rsidR="0030486E" w:rsidRDefault="0030486E" w:rsidP="009C53D6">
      <w:pPr>
        <w:pStyle w:val="NormalnyWeb"/>
        <w:spacing w:before="0" w:beforeAutospacing="0" w:after="150" w:afterAutospacing="0"/>
        <w:jc w:val="both"/>
        <w:rPr>
          <w:rStyle w:val="Pogrubienie"/>
          <w:sz w:val="32"/>
          <w:szCs w:val="32"/>
        </w:rPr>
      </w:pPr>
    </w:p>
    <w:p w14:paraId="5A7E6C53" w14:textId="3F0E84F1" w:rsidR="0030486E" w:rsidRDefault="0030486E" w:rsidP="009C53D6">
      <w:pPr>
        <w:pStyle w:val="NormalnyWeb"/>
        <w:spacing w:before="0" w:beforeAutospacing="0" w:after="150" w:afterAutospacing="0"/>
        <w:jc w:val="both"/>
        <w:rPr>
          <w:rStyle w:val="Pogrubienie"/>
          <w:sz w:val="32"/>
          <w:szCs w:val="32"/>
        </w:rPr>
      </w:pPr>
    </w:p>
    <w:p w14:paraId="2B0EF4C2" w14:textId="77777777" w:rsidR="0030486E" w:rsidRPr="009C53D6" w:rsidRDefault="0030486E" w:rsidP="009C53D6">
      <w:pPr>
        <w:pStyle w:val="NormalnyWeb"/>
        <w:spacing w:before="0" w:beforeAutospacing="0" w:after="150" w:afterAutospacing="0"/>
        <w:jc w:val="both"/>
        <w:rPr>
          <w:rStyle w:val="Pogrubienie"/>
          <w:sz w:val="32"/>
          <w:szCs w:val="32"/>
        </w:rPr>
      </w:pPr>
    </w:p>
    <w:p w14:paraId="6F284529" w14:textId="77777777" w:rsidR="009C53D6" w:rsidRPr="009C53D6" w:rsidRDefault="009C53D6" w:rsidP="009C53D6">
      <w:pPr>
        <w:numPr>
          <w:ilvl w:val="0"/>
          <w:numId w:val="2"/>
        </w:numPr>
        <w:suppressAutoHyphens w:val="0"/>
        <w:spacing w:after="150"/>
        <w:jc w:val="both"/>
        <w:rPr>
          <w:sz w:val="32"/>
          <w:szCs w:val="32"/>
          <w:lang w:eastAsia="pl-PL"/>
        </w:rPr>
      </w:pPr>
      <w:r w:rsidRPr="009C53D6">
        <w:rPr>
          <w:rFonts w:ascii="&amp;quot" w:hAnsi="&amp;quot"/>
          <w:b/>
          <w:bCs/>
          <w:color w:val="333333"/>
          <w:sz w:val="32"/>
          <w:szCs w:val="32"/>
          <w:lang w:eastAsia="pl-PL"/>
        </w:rPr>
        <w:lastRenderedPageBreak/>
        <w:t>ZADANIA GMINY</w:t>
      </w:r>
    </w:p>
    <w:p w14:paraId="76F21A4C" w14:textId="3D070560" w:rsidR="009C53D6" w:rsidRPr="009C53D6" w:rsidRDefault="009C53D6" w:rsidP="009C53D6">
      <w:pPr>
        <w:suppressAutoHyphens w:val="0"/>
        <w:spacing w:after="150"/>
        <w:ind w:left="720"/>
        <w:jc w:val="both"/>
        <w:rPr>
          <w:rFonts w:ascii="&amp;quot" w:hAnsi="&amp;quot"/>
          <w:color w:val="333333"/>
          <w:sz w:val="32"/>
          <w:szCs w:val="32"/>
          <w:lang w:eastAsia="pl-PL"/>
        </w:rPr>
      </w:pPr>
      <w:r w:rsidRPr="009C53D6">
        <w:rPr>
          <w:rFonts w:ascii="&amp;quot" w:hAnsi="&amp;quot"/>
          <w:color w:val="333333"/>
          <w:sz w:val="32"/>
          <w:szCs w:val="32"/>
          <w:lang w:eastAsia="pl-PL"/>
        </w:rPr>
        <w:br/>
        <w:t xml:space="preserve">Wójt (burmistrz, prezydent miasta) zarządzeniem wyznacza do prac w Komisji powołanej przez Wojewodę </w:t>
      </w:r>
      <w:r>
        <w:rPr>
          <w:rFonts w:ascii="&amp;quot" w:hAnsi="&amp;quot"/>
          <w:color w:val="333333"/>
          <w:sz w:val="32"/>
          <w:szCs w:val="32"/>
          <w:lang w:eastAsia="pl-PL"/>
        </w:rPr>
        <w:t xml:space="preserve">Śląskiego </w:t>
      </w:r>
      <w:r w:rsidRPr="009C53D6">
        <w:rPr>
          <w:rFonts w:ascii="&amp;quot" w:hAnsi="&amp;quot"/>
          <w:color w:val="333333"/>
          <w:sz w:val="32"/>
          <w:szCs w:val="32"/>
          <w:lang w:eastAsia="pl-PL"/>
        </w:rPr>
        <w:t xml:space="preserve">do spraw szacowania szkód w gospodarstwach rolnych i działach specjalnych produkcji rolnej, pracowników urzędu gminy. Wójt (burmistrz, prezydent miasta) po wpłynięciu zgłoszeń rolników, w terminie do </w:t>
      </w:r>
      <w:r w:rsidRPr="009C53D6">
        <w:rPr>
          <w:rFonts w:ascii="&amp;quot" w:hAnsi="&amp;quot"/>
          <w:b/>
          <w:bCs/>
          <w:color w:val="333333"/>
          <w:sz w:val="32"/>
          <w:szCs w:val="32"/>
          <w:lang w:eastAsia="pl-PL"/>
        </w:rPr>
        <w:t>20 dni</w:t>
      </w:r>
      <w:r w:rsidRPr="009C53D6">
        <w:rPr>
          <w:rFonts w:ascii="&amp;quot" w:hAnsi="&amp;quot"/>
          <w:color w:val="333333"/>
          <w:sz w:val="32"/>
          <w:szCs w:val="32"/>
          <w:lang w:eastAsia="pl-PL"/>
        </w:rPr>
        <w:t xml:space="preserve"> od dnia wystąpienia niekorzystnego zjawiska atmosferycznego, wnioskuje do Wydziału Rolnictwa </w:t>
      </w:r>
      <w:r>
        <w:rPr>
          <w:rFonts w:ascii="&amp;quot" w:hAnsi="&amp;quot"/>
          <w:color w:val="333333"/>
          <w:sz w:val="32"/>
          <w:szCs w:val="32"/>
          <w:lang w:eastAsia="pl-PL"/>
        </w:rPr>
        <w:t xml:space="preserve">Śląskiego </w:t>
      </w:r>
      <w:r w:rsidRPr="009C53D6">
        <w:rPr>
          <w:rFonts w:ascii="&amp;quot" w:hAnsi="&amp;quot"/>
          <w:color w:val="333333"/>
          <w:sz w:val="32"/>
          <w:szCs w:val="32"/>
          <w:lang w:eastAsia="pl-PL"/>
        </w:rPr>
        <w:t>Urzędu Wojewódzkiego w K</w:t>
      </w:r>
      <w:r>
        <w:rPr>
          <w:rFonts w:ascii="&amp;quot" w:hAnsi="&amp;quot"/>
          <w:color w:val="333333"/>
          <w:sz w:val="32"/>
          <w:szCs w:val="32"/>
          <w:lang w:eastAsia="pl-PL"/>
        </w:rPr>
        <w:t>atowicach o</w:t>
      </w:r>
      <w:r w:rsidRPr="009C53D6">
        <w:rPr>
          <w:rFonts w:ascii="&amp;quot" w:hAnsi="&amp;quot"/>
          <w:color w:val="333333"/>
          <w:sz w:val="32"/>
          <w:szCs w:val="32"/>
          <w:lang w:eastAsia="pl-PL"/>
        </w:rPr>
        <w:t xml:space="preserve"> dokonanie szacunku szkód przez komisję ds. szacowania szkód w gospodarstwach rolnych i działach specjalnych produkcji rolnej, znajdujących się na obszarach, na których wystąpiły niekorzystne zjawiska atmosferyczne. </w:t>
      </w:r>
    </w:p>
    <w:p w14:paraId="40E7BEBC" w14:textId="77D07CD5" w:rsidR="009C53D6" w:rsidRDefault="009C53D6" w:rsidP="009C53D6">
      <w:pPr>
        <w:numPr>
          <w:ilvl w:val="1"/>
          <w:numId w:val="2"/>
        </w:numPr>
        <w:suppressAutoHyphens w:val="0"/>
        <w:spacing w:before="100" w:beforeAutospacing="1" w:after="100" w:afterAutospacing="1"/>
        <w:rPr>
          <w:rFonts w:ascii="&amp;quot" w:hAnsi="&amp;quot"/>
          <w:color w:val="333333"/>
          <w:sz w:val="32"/>
          <w:szCs w:val="32"/>
          <w:lang w:eastAsia="pl-PL"/>
        </w:rPr>
      </w:pPr>
      <w:r w:rsidRPr="009C53D6">
        <w:rPr>
          <w:rFonts w:ascii="&amp;quot" w:hAnsi="&amp;quot"/>
          <w:color w:val="333333"/>
          <w:sz w:val="32"/>
          <w:szCs w:val="32"/>
          <w:lang w:eastAsia="pl-PL"/>
        </w:rPr>
        <w:t xml:space="preserve">wzór wniosku urzędu gminy o dokonanie przez Komisję powołaną przez Wojewodę </w:t>
      </w:r>
      <w:r>
        <w:rPr>
          <w:rFonts w:ascii="&amp;quot" w:hAnsi="&amp;quot"/>
          <w:color w:val="333333"/>
          <w:sz w:val="32"/>
          <w:szCs w:val="32"/>
          <w:lang w:eastAsia="pl-PL"/>
        </w:rPr>
        <w:t xml:space="preserve">Śląskiego </w:t>
      </w:r>
      <w:r w:rsidRPr="009C53D6">
        <w:rPr>
          <w:rFonts w:ascii="&amp;quot" w:hAnsi="&amp;quot"/>
          <w:color w:val="333333"/>
          <w:sz w:val="32"/>
          <w:szCs w:val="32"/>
          <w:lang w:eastAsia="pl-PL"/>
        </w:rPr>
        <w:t>szacunku szkód w gospodarstwach rolnych i działach specjalnych produkcji rolnej znajdujących się na obszarach, gdzie powstały szkody w związku z wystąpieniem niekorzystnych zjawisk atmosferycznych.</w:t>
      </w:r>
      <w:r>
        <w:rPr>
          <w:rFonts w:ascii="&amp;quot" w:hAnsi="&amp;quot"/>
          <w:color w:val="333333"/>
          <w:sz w:val="32"/>
          <w:szCs w:val="32"/>
          <w:lang w:eastAsia="pl-PL"/>
        </w:rPr>
        <w:t xml:space="preserve">                </w:t>
      </w:r>
      <w:r w:rsidRPr="009C53D6">
        <w:rPr>
          <w:rFonts w:ascii="&amp;quot" w:hAnsi="&amp;quot"/>
          <w:color w:val="333333"/>
          <w:sz w:val="32"/>
          <w:szCs w:val="32"/>
          <w:lang w:eastAsia="pl-PL"/>
        </w:rPr>
        <w:t xml:space="preserve"> (Załącznik nr II)</w:t>
      </w:r>
      <w:r w:rsidRPr="009C53D6">
        <w:rPr>
          <w:rFonts w:ascii="&amp;quot" w:hAnsi="&amp;quot"/>
          <w:color w:val="333333"/>
          <w:sz w:val="32"/>
          <w:szCs w:val="32"/>
          <w:lang w:eastAsia="pl-PL"/>
        </w:rPr>
        <w:br/>
      </w:r>
    </w:p>
    <w:p w14:paraId="1451E6BA" w14:textId="250D1E0D"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0346A035" w14:textId="477CCFAB"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1A37B8BB" w14:textId="66B68DBC"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04686128" w14:textId="3363F8AD"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1D47C0B8" w14:textId="64B90B56"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29F4E0CC" w14:textId="3260C3EF"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454968C9" w14:textId="2C45D35E"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0DCA89A7" w14:textId="2E0F909A"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262B41FB" w14:textId="648F1272" w:rsidR="0030486E" w:rsidRDefault="0030486E" w:rsidP="0030486E">
      <w:pPr>
        <w:suppressAutoHyphens w:val="0"/>
        <w:spacing w:before="100" w:beforeAutospacing="1" w:after="100" w:afterAutospacing="1"/>
        <w:rPr>
          <w:rFonts w:ascii="&amp;quot" w:hAnsi="&amp;quot"/>
          <w:color w:val="333333"/>
          <w:sz w:val="32"/>
          <w:szCs w:val="32"/>
          <w:lang w:eastAsia="pl-PL"/>
        </w:rPr>
      </w:pPr>
    </w:p>
    <w:p w14:paraId="68AEFCE4" w14:textId="77777777" w:rsidR="009C53D6" w:rsidRPr="0030486E" w:rsidRDefault="009C53D6" w:rsidP="0030486E">
      <w:pPr>
        <w:suppressAutoHyphens w:val="0"/>
        <w:spacing w:after="150"/>
        <w:ind w:left="720"/>
        <w:jc w:val="both"/>
        <w:rPr>
          <w:rFonts w:ascii="&amp;quot" w:hAnsi="&amp;quot"/>
          <w:color w:val="333333"/>
          <w:sz w:val="32"/>
          <w:szCs w:val="32"/>
          <w:u w:val="single"/>
          <w:lang w:eastAsia="pl-PL"/>
        </w:rPr>
      </w:pPr>
      <w:r w:rsidRPr="0030486E">
        <w:rPr>
          <w:rFonts w:ascii="&amp;quot" w:hAnsi="&amp;quot"/>
          <w:b/>
          <w:bCs/>
          <w:color w:val="333333"/>
          <w:sz w:val="32"/>
          <w:szCs w:val="32"/>
          <w:u w:val="single"/>
          <w:lang w:eastAsia="pl-PL"/>
        </w:rPr>
        <w:t xml:space="preserve">ZADANIA KOMISJI </w:t>
      </w:r>
    </w:p>
    <w:p w14:paraId="1C289B4F" w14:textId="77777777" w:rsidR="009C53D6" w:rsidRPr="009C53D6" w:rsidRDefault="009C53D6" w:rsidP="009C53D6">
      <w:pPr>
        <w:suppressAutoHyphens w:val="0"/>
        <w:spacing w:after="150"/>
        <w:ind w:left="720"/>
        <w:jc w:val="both"/>
        <w:rPr>
          <w:rFonts w:ascii="&amp;quot" w:hAnsi="&amp;quot"/>
          <w:color w:val="333333"/>
          <w:sz w:val="32"/>
          <w:szCs w:val="32"/>
          <w:lang w:eastAsia="pl-PL"/>
        </w:rPr>
      </w:pPr>
      <w:r w:rsidRPr="009C53D6">
        <w:rPr>
          <w:rFonts w:ascii="&amp;quot" w:hAnsi="&amp;quot"/>
          <w:b/>
          <w:bCs/>
          <w:color w:val="333333"/>
          <w:sz w:val="32"/>
          <w:szCs w:val="32"/>
          <w:lang w:eastAsia="pl-PL"/>
        </w:rPr>
        <w:t>Oszacowania wysokości szkód dokonują członkowie Komisji:</w:t>
      </w:r>
      <w:r w:rsidRPr="009C53D6">
        <w:rPr>
          <w:rFonts w:ascii="&amp;quot" w:hAnsi="&amp;quot"/>
          <w:color w:val="333333"/>
          <w:sz w:val="32"/>
          <w:szCs w:val="32"/>
          <w:lang w:eastAsia="pl-PL"/>
        </w:rPr>
        <w:t xml:space="preserve"> </w:t>
      </w:r>
    </w:p>
    <w:p w14:paraId="5CDAEF6D" w14:textId="77777777" w:rsidR="009C53D6" w:rsidRPr="009C53D6" w:rsidRDefault="009C53D6" w:rsidP="009C53D6">
      <w:pPr>
        <w:numPr>
          <w:ilvl w:val="1"/>
          <w:numId w:val="3"/>
        </w:numPr>
        <w:suppressAutoHyphens w:val="0"/>
        <w:spacing w:before="100" w:beforeAutospacing="1" w:after="100" w:afterAutospacing="1"/>
        <w:rPr>
          <w:rFonts w:ascii="&amp;quot" w:hAnsi="&amp;quot"/>
          <w:color w:val="333333"/>
          <w:sz w:val="32"/>
          <w:szCs w:val="32"/>
          <w:lang w:eastAsia="pl-PL"/>
        </w:rPr>
      </w:pPr>
      <w:r w:rsidRPr="009C53D6">
        <w:rPr>
          <w:rFonts w:ascii="&amp;quot" w:hAnsi="&amp;quot"/>
          <w:b/>
          <w:bCs/>
          <w:color w:val="333333"/>
          <w:sz w:val="32"/>
          <w:szCs w:val="32"/>
          <w:lang w:eastAsia="pl-PL"/>
        </w:rPr>
        <w:t>w ciągu 2 miesięcy od dnia złożenia przez producenta rolnego do urzędu gminy wniosku o oszacowanie szkód, poprzez lustrację na miejscu, jednak nie później niż</w:t>
      </w:r>
      <w:r w:rsidRPr="009C53D6">
        <w:rPr>
          <w:rFonts w:ascii="&amp;quot" w:hAnsi="&amp;quot"/>
          <w:color w:val="333333"/>
          <w:sz w:val="32"/>
          <w:szCs w:val="32"/>
          <w:lang w:eastAsia="pl-PL"/>
        </w:rPr>
        <w:t>:</w:t>
      </w:r>
    </w:p>
    <w:p w14:paraId="56201E9C" w14:textId="2ED0DD68" w:rsidR="009C53D6" w:rsidRDefault="009C53D6" w:rsidP="009C53D6">
      <w:pPr>
        <w:numPr>
          <w:ilvl w:val="2"/>
          <w:numId w:val="3"/>
        </w:numPr>
        <w:suppressAutoHyphens w:val="0"/>
        <w:spacing w:before="100" w:beforeAutospacing="1" w:after="100" w:afterAutospacing="1"/>
        <w:rPr>
          <w:rFonts w:ascii="&amp;quot" w:hAnsi="&amp;quot"/>
          <w:color w:val="333333"/>
          <w:sz w:val="32"/>
          <w:szCs w:val="32"/>
          <w:lang w:eastAsia="pl-PL"/>
        </w:rPr>
      </w:pPr>
      <w:r w:rsidRPr="009C53D6">
        <w:rPr>
          <w:rFonts w:ascii="&amp;quot" w:hAnsi="&amp;quot"/>
          <w:color w:val="333333"/>
          <w:sz w:val="32"/>
          <w:szCs w:val="32"/>
          <w:lang w:eastAsia="pl-PL"/>
        </w:rPr>
        <w:t>od wschodów do czasu zbioru plonu głównego danej uprawy albo jej likwidacji</w:t>
      </w:r>
    </w:p>
    <w:p w14:paraId="294323BC" w14:textId="4D8BD79A" w:rsidR="009C53D6" w:rsidRPr="009C53D6" w:rsidRDefault="00F8358D" w:rsidP="009C53D6">
      <w:pPr>
        <w:suppressAutoHyphens w:val="0"/>
        <w:ind w:left="2160"/>
        <w:rPr>
          <w:rFonts w:ascii="&amp;quot" w:hAnsi="&amp;quot"/>
          <w:color w:val="333333"/>
          <w:sz w:val="32"/>
          <w:szCs w:val="32"/>
          <w:lang w:eastAsia="pl-PL"/>
        </w:rPr>
      </w:pPr>
      <w:r>
        <w:rPr>
          <w:rFonts w:ascii="&amp;quot" w:hAnsi="&amp;quot"/>
          <w:color w:val="333333"/>
          <w:sz w:val="32"/>
          <w:szCs w:val="32"/>
          <w:lang w:eastAsia="pl-PL"/>
        </w:rPr>
        <w:t xml:space="preserve">                          a</w:t>
      </w:r>
      <w:r w:rsidR="009C53D6" w:rsidRPr="009C53D6">
        <w:rPr>
          <w:rFonts w:ascii="&amp;quot" w:hAnsi="&amp;quot"/>
          <w:color w:val="333333"/>
          <w:sz w:val="32"/>
          <w:szCs w:val="32"/>
          <w:lang w:eastAsia="pl-PL"/>
        </w:rPr>
        <w:t>lbo;</w:t>
      </w:r>
      <w:r w:rsidR="009C53D6" w:rsidRPr="009C53D6">
        <w:rPr>
          <w:rFonts w:ascii="&amp;quot" w:hAnsi="&amp;quot"/>
          <w:color w:val="333333"/>
          <w:sz w:val="32"/>
          <w:szCs w:val="32"/>
          <w:lang w:eastAsia="pl-PL"/>
        </w:rPr>
        <w:br/>
      </w:r>
    </w:p>
    <w:p w14:paraId="0FBEADB4" w14:textId="77777777" w:rsidR="009C53D6" w:rsidRPr="009C53D6" w:rsidRDefault="009C53D6" w:rsidP="009C53D6">
      <w:pPr>
        <w:numPr>
          <w:ilvl w:val="2"/>
          <w:numId w:val="3"/>
        </w:numPr>
        <w:suppressAutoHyphens w:val="0"/>
        <w:spacing w:before="100" w:beforeAutospacing="1" w:after="100" w:afterAutospacing="1"/>
        <w:rPr>
          <w:rFonts w:ascii="&amp;quot" w:hAnsi="&amp;quot"/>
          <w:color w:val="333333"/>
          <w:sz w:val="32"/>
          <w:szCs w:val="32"/>
          <w:lang w:eastAsia="pl-PL"/>
        </w:rPr>
      </w:pPr>
      <w:r w:rsidRPr="009C53D6">
        <w:rPr>
          <w:rFonts w:ascii="&amp;quot" w:hAnsi="&amp;quot"/>
          <w:color w:val="333333"/>
          <w:sz w:val="32"/>
          <w:szCs w:val="32"/>
          <w:lang w:eastAsia="pl-PL"/>
        </w:rPr>
        <w:t xml:space="preserve">nie później niż w terminie do 3 miesięcy od </w:t>
      </w:r>
      <w:proofErr w:type="spellStart"/>
      <w:r w:rsidRPr="009C53D6">
        <w:rPr>
          <w:rFonts w:ascii="&amp;quot" w:hAnsi="&amp;quot"/>
          <w:color w:val="333333"/>
          <w:sz w:val="32"/>
          <w:szCs w:val="32"/>
          <w:lang w:eastAsia="pl-PL"/>
        </w:rPr>
        <w:t>wystapienia</w:t>
      </w:r>
      <w:proofErr w:type="spellEnd"/>
      <w:r w:rsidRPr="009C53D6">
        <w:rPr>
          <w:rFonts w:ascii="&amp;quot" w:hAnsi="&amp;quot"/>
          <w:color w:val="333333"/>
          <w:sz w:val="32"/>
          <w:szCs w:val="32"/>
          <w:lang w:eastAsia="pl-PL"/>
        </w:rPr>
        <w:t xml:space="preserve"> gradu, deszczu nawalnego, huraganu, pioruna, obsunięcia się ziemi lub lawiny - w przypadku szkód w środku trwałym,</w:t>
      </w:r>
    </w:p>
    <w:p w14:paraId="211A9408" w14:textId="1D57EA2A" w:rsidR="009C53D6" w:rsidRPr="009C53D6" w:rsidRDefault="00F8358D" w:rsidP="009C53D6">
      <w:pPr>
        <w:suppressAutoHyphens w:val="0"/>
        <w:ind w:left="2160"/>
        <w:rPr>
          <w:rFonts w:ascii="&amp;quot" w:hAnsi="&amp;quot"/>
          <w:color w:val="333333"/>
          <w:sz w:val="32"/>
          <w:szCs w:val="32"/>
          <w:lang w:eastAsia="pl-PL"/>
        </w:rPr>
      </w:pPr>
      <w:r>
        <w:rPr>
          <w:rFonts w:ascii="&amp;quot" w:hAnsi="&amp;quot"/>
          <w:color w:val="333333"/>
          <w:sz w:val="32"/>
          <w:szCs w:val="32"/>
          <w:lang w:eastAsia="pl-PL"/>
        </w:rPr>
        <w:t xml:space="preserve">                         </w:t>
      </w:r>
      <w:r w:rsidR="009C53D6" w:rsidRPr="009C53D6">
        <w:rPr>
          <w:rFonts w:ascii="&amp;quot" w:hAnsi="&amp;quot"/>
          <w:color w:val="333333"/>
          <w:sz w:val="32"/>
          <w:szCs w:val="32"/>
          <w:lang w:eastAsia="pl-PL"/>
        </w:rPr>
        <w:t>albo;</w:t>
      </w:r>
      <w:r w:rsidR="009C53D6" w:rsidRPr="009C53D6">
        <w:rPr>
          <w:rFonts w:ascii="&amp;quot" w:hAnsi="&amp;quot"/>
          <w:color w:val="333333"/>
          <w:sz w:val="32"/>
          <w:szCs w:val="32"/>
          <w:lang w:eastAsia="pl-PL"/>
        </w:rPr>
        <w:br/>
      </w:r>
    </w:p>
    <w:p w14:paraId="13ADAEE1" w14:textId="77777777" w:rsidR="009C53D6" w:rsidRPr="009C53D6" w:rsidRDefault="009C53D6" w:rsidP="009C53D6">
      <w:pPr>
        <w:numPr>
          <w:ilvl w:val="2"/>
          <w:numId w:val="3"/>
        </w:numPr>
        <w:suppressAutoHyphens w:val="0"/>
        <w:spacing w:before="100" w:beforeAutospacing="1" w:after="100" w:afterAutospacing="1"/>
        <w:rPr>
          <w:rFonts w:ascii="&amp;quot" w:hAnsi="&amp;quot"/>
          <w:color w:val="333333"/>
          <w:sz w:val="32"/>
          <w:szCs w:val="32"/>
          <w:lang w:eastAsia="pl-PL"/>
        </w:rPr>
      </w:pPr>
      <w:r w:rsidRPr="009C53D6">
        <w:rPr>
          <w:rFonts w:ascii="&amp;quot" w:hAnsi="&amp;quot"/>
          <w:color w:val="333333"/>
          <w:sz w:val="32"/>
          <w:szCs w:val="32"/>
          <w:lang w:eastAsia="pl-PL"/>
        </w:rPr>
        <w:t>nie później niż w terminie 12 miesięcy od ustąpienia wody umożliwiającego komisji rozpoczęcie szacowania szkód – w przypadku szacowania szkód w budynkach, spowodowanych przez powódź.</w:t>
      </w:r>
    </w:p>
    <w:p w14:paraId="091ABB84" w14:textId="77777777" w:rsidR="009C53D6" w:rsidRPr="009C53D6" w:rsidRDefault="009C53D6" w:rsidP="009C53D6">
      <w:pPr>
        <w:numPr>
          <w:ilvl w:val="1"/>
          <w:numId w:val="3"/>
        </w:numPr>
        <w:suppressAutoHyphens w:val="0"/>
        <w:spacing w:before="100" w:beforeAutospacing="1" w:after="100" w:afterAutospacing="1"/>
        <w:rPr>
          <w:rFonts w:ascii="&amp;quot" w:hAnsi="&amp;quot"/>
          <w:color w:val="333333"/>
          <w:sz w:val="32"/>
          <w:szCs w:val="32"/>
          <w:lang w:eastAsia="pl-PL"/>
        </w:rPr>
      </w:pPr>
      <w:r w:rsidRPr="009C53D6">
        <w:rPr>
          <w:rFonts w:ascii="&amp;quot" w:hAnsi="&amp;quot"/>
          <w:b/>
          <w:bCs/>
          <w:color w:val="333333"/>
          <w:sz w:val="32"/>
          <w:szCs w:val="32"/>
          <w:lang w:eastAsia="pl-PL"/>
        </w:rPr>
        <w:t>dwukrotnie, w przypadku szkód spowodowanych przez ujemne skutki przezimowania, przymrozki wiosenne, powódź lub grad w drzewach</w:t>
      </w:r>
      <w:r w:rsidRPr="009C53D6">
        <w:rPr>
          <w:rFonts w:ascii="&amp;quot" w:hAnsi="&amp;quot"/>
          <w:color w:val="333333"/>
          <w:sz w:val="32"/>
          <w:szCs w:val="32"/>
          <w:lang w:eastAsia="pl-PL"/>
        </w:rPr>
        <w:t xml:space="preserve"> owocowych (jako środkach trwałych, nie dotyczy szkód w owocach):</w:t>
      </w:r>
    </w:p>
    <w:p w14:paraId="61987F42" w14:textId="77777777" w:rsidR="009C53D6" w:rsidRPr="009C53D6" w:rsidRDefault="009C53D6" w:rsidP="009C53D6">
      <w:pPr>
        <w:numPr>
          <w:ilvl w:val="2"/>
          <w:numId w:val="3"/>
        </w:numPr>
        <w:suppressAutoHyphens w:val="0"/>
        <w:spacing w:before="100" w:beforeAutospacing="1" w:after="100" w:afterAutospacing="1"/>
        <w:rPr>
          <w:rFonts w:ascii="&amp;quot" w:hAnsi="&amp;quot"/>
          <w:color w:val="333333"/>
          <w:sz w:val="32"/>
          <w:szCs w:val="32"/>
          <w:lang w:eastAsia="pl-PL"/>
        </w:rPr>
      </w:pPr>
      <w:r w:rsidRPr="009C53D6">
        <w:rPr>
          <w:rFonts w:ascii="&amp;quot" w:hAnsi="&amp;quot"/>
          <w:b/>
          <w:bCs/>
          <w:color w:val="333333"/>
          <w:sz w:val="32"/>
          <w:szCs w:val="32"/>
          <w:lang w:eastAsia="pl-PL"/>
        </w:rPr>
        <w:t>po raz pierwszy – w terminie do 2 miesięcy od dnia powstania tych szkód</w:t>
      </w:r>
      <w:r w:rsidRPr="009C53D6">
        <w:rPr>
          <w:rFonts w:ascii="&amp;quot" w:hAnsi="&amp;quot"/>
          <w:color w:val="333333"/>
          <w:sz w:val="32"/>
          <w:szCs w:val="32"/>
          <w:lang w:eastAsia="pl-PL"/>
        </w:rPr>
        <w:t>,</w:t>
      </w:r>
    </w:p>
    <w:p w14:paraId="3256EBAE" w14:textId="77777777" w:rsidR="009C53D6" w:rsidRPr="009C53D6" w:rsidRDefault="009C53D6" w:rsidP="009C53D6">
      <w:pPr>
        <w:numPr>
          <w:ilvl w:val="2"/>
          <w:numId w:val="3"/>
        </w:numPr>
        <w:suppressAutoHyphens w:val="0"/>
        <w:spacing w:before="100" w:beforeAutospacing="1" w:after="100" w:afterAutospacing="1"/>
        <w:rPr>
          <w:rFonts w:ascii="&amp;quot" w:hAnsi="&amp;quot"/>
          <w:color w:val="333333"/>
          <w:sz w:val="32"/>
          <w:szCs w:val="32"/>
          <w:lang w:eastAsia="pl-PL"/>
        </w:rPr>
      </w:pPr>
      <w:r w:rsidRPr="009C53D6">
        <w:rPr>
          <w:rFonts w:ascii="&amp;quot" w:hAnsi="&amp;quot"/>
          <w:b/>
          <w:bCs/>
          <w:color w:val="333333"/>
          <w:sz w:val="32"/>
          <w:szCs w:val="32"/>
          <w:lang w:eastAsia="pl-PL"/>
        </w:rPr>
        <w:t>po raz drugi – nie później niż w terminie do 12 miesięcy od dnia powstania tych szkód</w:t>
      </w:r>
      <w:r w:rsidRPr="009C53D6">
        <w:rPr>
          <w:rFonts w:ascii="&amp;quot" w:hAnsi="&amp;quot"/>
          <w:color w:val="333333"/>
          <w:sz w:val="32"/>
          <w:szCs w:val="32"/>
          <w:lang w:eastAsia="pl-PL"/>
        </w:rPr>
        <w:t>.</w:t>
      </w:r>
    </w:p>
    <w:p w14:paraId="184CBB76" w14:textId="77777777" w:rsidR="0030486E" w:rsidRDefault="0030486E" w:rsidP="009C53D6">
      <w:pPr>
        <w:suppressAutoHyphens w:val="0"/>
        <w:spacing w:after="150"/>
        <w:ind w:left="720"/>
        <w:jc w:val="both"/>
        <w:rPr>
          <w:rFonts w:ascii="&amp;quot" w:hAnsi="&amp;quot"/>
          <w:color w:val="333333"/>
          <w:sz w:val="32"/>
          <w:szCs w:val="32"/>
          <w:lang w:eastAsia="pl-PL"/>
        </w:rPr>
      </w:pPr>
    </w:p>
    <w:p w14:paraId="3A394965" w14:textId="77777777" w:rsidR="0030486E" w:rsidRDefault="0030486E" w:rsidP="009C53D6">
      <w:pPr>
        <w:suppressAutoHyphens w:val="0"/>
        <w:spacing w:after="150"/>
        <w:ind w:left="720"/>
        <w:jc w:val="both"/>
        <w:rPr>
          <w:rFonts w:ascii="&amp;quot" w:hAnsi="&amp;quot"/>
          <w:color w:val="333333"/>
          <w:sz w:val="32"/>
          <w:szCs w:val="32"/>
          <w:lang w:eastAsia="pl-PL"/>
        </w:rPr>
      </w:pPr>
    </w:p>
    <w:p w14:paraId="14DDCCB8" w14:textId="77777777" w:rsidR="0030486E" w:rsidRDefault="0030486E" w:rsidP="009C53D6">
      <w:pPr>
        <w:suppressAutoHyphens w:val="0"/>
        <w:spacing w:after="150"/>
        <w:ind w:left="720"/>
        <w:jc w:val="both"/>
        <w:rPr>
          <w:rFonts w:ascii="&amp;quot" w:hAnsi="&amp;quot"/>
          <w:color w:val="333333"/>
          <w:sz w:val="32"/>
          <w:szCs w:val="32"/>
          <w:lang w:eastAsia="pl-PL"/>
        </w:rPr>
      </w:pPr>
    </w:p>
    <w:p w14:paraId="4B9C50D8" w14:textId="42C1837B" w:rsidR="009C53D6" w:rsidRPr="009C53D6" w:rsidRDefault="009C53D6" w:rsidP="009C53D6">
      <w:pPr>
        <w:suppressAutoHyphens w:val="0"/>
        <w:spacing w:after="150"/>
        <w:ind w:left="720"/>
        <w:jc w:val="both"/>
        <w:rPr>
          <w:rFonts w:ascii="&amp;quot" w:hAnsi="&amp;quot"/>
          <w:color w:val="333333"/>
          <w:sz w:val="32"/>
          <w:szCs w:val="32"/>
          <w:lang w:eastAsia="pl-PL"/>
        </w:rPr>
      </w:pPr>
      <w:r w:rsidRPr="009C53D6">
        <w:rPr>
          <w:rFonts w:ascii="&amp;quot" w:hAnsi="&amp;quot"/>
          <w:color w:val="333333"/>
          <w:sz w:val="32"/>
          <w:szCs w:val="32"/>
          <w:lang w:eastAsia="pl-PL"/>
        </w:rPr>
        <w:br/>
        <w:t xml:space="preserve">Po oszacowaniu szkód przez komisję, wojewoda wdraża ustalone zasady w zależności od uruchomionego programu pomocy, a w szczególności potwierdza wysokość i zakres szkód na protokołach Komisji w przypadku gdy szkody wynoszą powyżej 30% średniej produkcji lub powyżej 3350 zł w przypadku szkód w środkach trwałych. </w:t>
      </w:r>
    </w:p>
    <w:p w14:paraId="46D6581E" w14:textId="77777777" w:rsidR="009C53D6" w:rsidRPr="009C53D6" w:rsidRDefault="009C53D6" w:rsidP="009C53D6">
      <w:pPr>
        <w:pStyle w:val="NormalnyWeb"/>
        <w:spacing w:before="0" w:beforeAutospacing="0" w:after="150" w:afterAutospacing="0"/>
        <w:jc w:val="both"/>
        <w:rPr>
          <w:rStyle w:val="Pogrubienie"/>
          <w:sz w:val="32"/>
          <w:szCs w:val="32"/>
        </w:rPr>
      </w:pPr>
      <w:bookmarkStart w:id="0" w:name="_GoBack"/>
      <w:bookmarkEnd w:id="0"/>
    </w:p>
    <w:p w14:paraId="27FF5516" w14:textId="77777777" w:rsidR="009C53D6" w:rsidRPr="009C53D6" w:rsidRDefault="009C53D6" w:rsidP="009C53D6">
      <w:pPr>
        <w:pStyle w:val="NormalnyWeb"/>
        <w:spacing w:before="0" w:beforeAutospacing="0" w:after="150" w:afterAutospacing="0"/>
        <w:jc w:val="both"/>
        <w:rPr>
          <w:rStyle w:val="Pogrubienie"/>
          <w:rFonts w:ascii="&amp;quot" w:hAnsi="&amp;quot"/>
          <w:color w:val="333333"/>
          <w:sz w:val="32"/>
          <w:szCs w:val="32"/>
        </w:rPr>
      </w:pPr>
    </w:p>
    <w:p w14:paraId="096FECD6" w14:textId="77777777" w:rsidR="009C53D6" w:rsidRPr="009C53D6" w:rsidRDefault="009C53D6" w:rsidP="009C53D6">
      <w:pPr>
        <w:pStyle w:val="NormalnyWeb"/>
        <w:spacing w:before="0" w:beforeAutospacing="0" w:after="150" w:afterAutospacing="0"/>
        <w:jc w:val="both"/>
        <w:rPr>
          <w:sz w:val="32"/>
          <w:szCs w:val="32"/>
        </w:rPr>
      </w:pPr>
      <w:r w:rsidRPr="009C53D6">
        <w:rPr>
          <w:rStyle w:val="Pogrubienie"/>
          <w:rFonts w:ascii="&amp;quot" w:hAnsi="&amp;quot"/>
          <w:color w:val="333333"/>
          <w:sz w:val="32"/>
          <w:szCs w:val="32"/>
        </w:rPr>
        <w:t>PODSTAWA PRAWNA</w:t>
      </w:r>
    </w:p>
    <w:p w14:paraId="25DD77EE" w14:textId="77777777" w:rsidR="009C53D6" w:rsidRPr="009C53D6" w:rsidRDefault="009C53D6" w:rsidP="009C53D6">
      <w:pPr>
        <w:pStyle w:val="NormalnyWeb"/>
        <w:spacing w:before="0" w:beforeAutospacing="0" w:after="150" w:afterAutospacing="0"/>
        <w:jc w:val="both"/>
        <w:rPr>
          <w:sz w:val="32"/>
          <w:szCs w:val="32"/>
        </w:rPr>
      </w:pPr>
      <w:r w:rsidRPr="009C53D6">
        <w:rPr>
          <w:sz w:val="32"/>
          <w:szCs w:val="32"/>
        </w:rPr>
        <w:t>Rozporządzenia Rady Ministrów z dnia 27 stycznia 2015 r. w sprawie szczegółowego zakresu i sposobów realizacji niektórych zadań Agencji Restrukturyzacji i Modernizacji Rolnictwa (Dz. U. 2015 r. poz. 187, poz. 230, poz.1345, poz. 1346, poz. 1608, poz. 2089, z 2016 r. poz. 170, poz. 1455, poz. 1912, z 2017 r., poz. 166).</w:t>
      </w:r>
    </w:p>
    <w:p w14:paraId="3C4EA30D" w14:textId="50185D82" w:rsidR="009C53D6" w:rsidRDefault="009C53D6" w:rsidP="009C53D6">
      <w:pPr>
        <w:pStyle w:val="NormalnyWeb"/>
        <w:spacing w:before="0" w:beforeAutospacing="0" w:after="150" w:afterAutospacing="0"/>
        <w:jc w:val="both"/>
        <w:rPr>
          <w:rFonts w:ascii="&amp;quot" w:hAnsi="&amp;quot"/>
          <w:color w:val="333333"/>
          <w:sz w:val="32"/>
          <w:szCs w:val="32"/>
        </w:rPr>
      </w:pPr>
    </w:p>
    <w:p w14:paraId="73F8C2D3" w14:textId="77777777" w:rsidR="003D3891" w:rsidRPr="003D3891" w:rsidRDefault="003D3891" w:rsidP="003D3891">
      <w:pPr>
        <w:numPr>
          <w:ilvl w:val="0"/>
          <w:numId w:val="4"/>
        </w:numPr>
        <w:suppressAutoHyphens w:val="0"/>
        <w:spacing w:before="100" w:beforeAutospacing="1" w:after="100" w:afterAutospacing="1"/>
        <w:rPr>
          <w:rFonts w:ascii="&amp;quot" w:hAnsi="&amp;quot"/>
          <w:color w:val="333333"/>
          <w:sz w:val="18"/>
          <w:szCs w:val="18"/>
          <w:lang w:eastAsia="pl-PL"/>
        </w:rPr>
      </w:pPr>
      <w:r w:rsidRPr="003D3891">
        <w:rPr>
          <w:rFonts w:ascii="&amp;quot" w:hAnsi="&amp;quot"/>
          <w:b/>
          <w:bCs/>
          <w:color w:val="333333"/>
          <w:sz w:val="18"/>
          <w:szCs w:val="18"/>
          <w:lang w:eastAsia="pl-PL"/>
        </w:rPr>
        <w:t>DLA ROLNIKA</w:t>
      </w:r>
      <w:r w:rsidRPr="003D3891">
        <w:rPr>
          <w:rFonts w:ascii="&amp;quot" w:hAnsi="&amp;quot"/>
          <w:color w:val="333333"/>
          <w:sz w:val="18"/>
          <w:szCs w:val="18"/>
          <w:lang w:eastAsia="pl-PL"/>
        </w:rPr>
        <w:t xml:space="preserve"> </w:t>
      </w:r>
    </w:p>
    <w:p w14:paraId="29570467" w14:textId="77777777" w:rsidR="003D3891" w:rsidRPr="003D3891" w:rsidRDefault="003D3891" w:rsidP="003D3891">
      <w:pPr>
        <w:numPr>
          <w:ilvl w:val="1"/>
          <w:numId w:val="4"/>
        </w:numPr>
        <w:suppressAutoHyphens w:val="0"/>
        <w:spacing w:before="100" w:beforeAutospacing="1" w:after="100" w:afterAutospacing="1"/>
        <w:rPr>
          <w:rFonts w:ascii="&amp;quot" w:hAnsi="&amp;quot"/>
          <w:color w:val="333333"/>
          <w:sz w:val="18"/>
          <w:szCs w:val="18"/>
          <w:lang w:eastAsia="pl-PL"/>
        </w:rPr>
      </w:pPr>
      <w:r w:rsidRPr="003D3891">
        <w:rPr>
          <w:rFonts w:ascii="&amp;quot" w:hAnsi="&amp;quot"/>
          <w:color w:val="333333"/>
          <w:sz w:val="18"/>
          <w:szCs w:val="18"/>
          <w:lang w:eastAsia="pl-PL"/>
        </w:rPr>
        <w:t xml:space="preserve">Załącznik nr I- wniosek producenta rolnego </w:t>
      </w:r>
      <w:hyperlink r:id="rId5" w:history="1">
        <w:r w:rsidRPr="003D3891">
          <w:rPr>
            <w:rFonts w:ascii="&amp;quot" w:hAnsi="&amp;quot"/>
            <w:b/>
            <w:bCs/>
            <w:color w:val="337AB7"/>
            <w:sz w:val="18"/>
            <w:szCs w:val="18"/>
            <w:u w:val="single"/>
            <w:lang w:eastAsia="pl-PL"/>
          </w:rPr>
          <w:t>(pobierz)</w:t>
        </w:r>
      </w:hyperlink>
    </w:p>
    <w:p w14:paraId="0A509EB1" w14:textId="77777777" w:rsidR="003D3891" w:rsidRPr="003D3891" w:rsidRDefault="003D3891" w:rsidP="003D3891">
      <w:pPr>
        <w:numPr>
          <w:ilvl w:val="1"/>
          <w:numId w:val="4"/>
        </w:numPr>
        <w:suppressAutoHyphens w:val="0"/>
        <w:spacing w:before="100" w:beforeAutospacing="1" w:after="100" w:afterAutospacing="1"/>
        <w:rPr>
          <w:rFonts w:ascii="&amp;quot" w:hAnsi="&amp;quot"/>
          <w:color w:val="333333"/>
          <w:sz w:val="18"/>
          <w:szCs w:val="18"/>
          <w:lang w:eastAsia="pl-PL"/>
        </w:rPr>
      </w:pPr>
      <w:r w:rsidRPr="003D3891">
        <w:rPr>
          <w:rFonts w:ascii="&amp;quot" w:hAnsi="&amp;quot"/>
          <w:color w:val="333333"/>
          <w:sz w:val="18"/>
          <w:szCs w:val="18"/>
          <w:lang w:eastAsia="pl-PL"/>
        </w:rPr>
        <w:t xml:space="preserve">Załącznik nr I.2-I.9- załącznik do wniosku producenta rolnego </w:t>
      </w:r>
      <w:hyperlink r:id="rId6" w:history="1">
        <w:r w:rsidRPr="003D3891">
          <w:rPr>
            <w:rFonts w:ascii="&amp;quot" w:hAnsi="&amp;quot"/>
            <w:b/>
            <w:bCs/>
            <w:color w:val="337AB7"/>
            <w:sz w:val="18"/>
            <w:szCs w:val="18"/>
            <w:u w:val="single"/>
            <w:lang w:eastAsia="pl-PL"/>
          </w:rPr>
          <w:t>(pobierz)</w:t>
        </w:r>
      </w:hyperlink>
    </w:p>
    <w:p w14:paraId="51E4936A" w14:textId="77777777" w:rsidR="003D3891" w:rsidRPr="003D3891" w:rsidRDefault="003D3891" w:rsidP="003D3891">
      <w:pPr>
        <w:numPr>
          <w:ilvl w:val="1"/>
          <w:numId w:val="4"/>
        </w:numPr>
        <w:suppressAutoHyphens w:val="0"/>
        <w:spacing w:before="100" w:beforeAutospacing="1" w:after="100" w:afterAutospacing="1"/>
        <w:rPr>
          <w:rFonts w:ascii="&amp;quot" w:hAnsi="&amp;quot"/>
          <w:color w:val="333333"/>
          <w:sz w:val="18"/>
          <w:szCs w:val="18"/>
          <w:lang w:eastAsia="pl-PL"/>
        </w:rPr>
      </w:pPr>
      <w:r w:rsidRPr="003D3891">
        <w:rPr>
          <w:rFonts w:ascii="&amp;quot" w:hAnsi="&amp;quot"/>
          <w:color w:val="333333"/>
          <w:sz w:val="18"/>
          <w:szCs w:val="18"/>
          <w:lang w:eastAsia="pl-PL"/>
        </w:rPr>
        <w:t>Załącznik nr I.1A i B-zbiorcze zestawienie z kilku gmin</w:t>
      </w:r>
      <w:hyperlink r:id="rId7" w:history="1">
        <w:r w:rsidRPr="003D3891">
          <w:rPr>
            <w:rFonts w:ascii="&amp;quot" w:hAnsi="&amp;quot"/>
            <w:b/>
            <w:bCs/>
            <w:color w:val="337AB7"/>
            <w:sz w:val="18"/>
            <w:szCs w:val="18"/>
            <w:u w:val="single"/>
            <w:lang w:eastAsia="pl-PL"/>
          </w:rPr>
          <w:t xml:space="preserve"> (pobierz)</w:t>
        </w:r>
      </w:hyperlink>
    </w:p>
    <w:p w14:paraId="75B16D25" w14:textId="77777777" w:rsidR="004135E4" w:rsidRPr="009C53D6" w:rsidRDefault="009C021D">
      <w:pPr>
        <w:rPr>
          <w:sz w:val="32"/>
          <w:szCs w:val="32"/>
        </w:rPr>
      </w:pPr>
    </w:p>
    <w:sectPr w:rsidR="004135E4" w:rsidRPr="009C5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1108B"/>
    <w:multiLevelType w:val="multilevel"/>
    <w:tmpl w:val="A8240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33510F9"/>
    <w:multiLevelType w:val="multilevel"/>
    <w:tmpl w:val="B9B4C4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A03A1"/>
    <w:multiLevelType w:val="multilevel"/>
    <w:tmpl w:val="C8725E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lvl w:ilvl="0">
        <w:numFmt w:val="decimal"/>
        <w:lvlText w:val=""/>
        <w:lvlJc w:val="left"/>
      </w:lvl>
    </w:lvlOverride>
    <w:lvlOverride w:ilvl="1">
      <w:lvl w:ilvl="1">
        <w:start w:val="1"/>
        <w:numFmt w:val="decimal"/>
        <w:lvlText w:val="%2."/>
        <w:lvlJc w:val="left"/>
        <w:pPr>
          <w:ind w:left="0" w:firstLine="0"/>
        </w:pPr>
        <w:rPr>
          <w:rFonts w:ascii="Wingdings" w:hAnsi="Wingdings"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C6"/>
    <w:rsid w:val="0030486E"/>
    <w:rsid w:val="003655D1"/>
    <w:rsid w:val="003847FB"/>
    <w:rsid w:val="003D3891"/>
    <w:rsid w:val="004728EF"/>
    <w:rsid w:val="009C021D"/>
    <w:rsid w:val="009C53D6"/>
    <w:rsid w:val="00B467C6"/>
    <w:rsid w:val="00F83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0237"/>
  <w15:chartTrackingRefBased/>
  <w15:docId w15:val="{F920C933-1AF7-4CEC-B15B-58332A0F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53D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C53D6"/>
    <w:pPr>
      <w:suppressAutoHyphens w:val="0"/>
      <w:spacing w:before="100" w:beforeAutospacing="1" w:after="100" w:afterAutospacing="1"/>
    </w:pPr>
    <w:rPr>
      <w:lang w:eastAsia="pl-PL"/>
    </w:rPr>
  </w:style>
  <w:style w:type="character" w:styleId="Pogrubienie">
    <w:name w:val="Strong"/>
    <w:basedOn w:val="Domylnaczcionkaakapitu"/>
    <w:uiPriority w:val="22"/>
    <w:qFormat/>
    <w:rsid w:val="009C5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90350">
      <w:bodyDiv w:val="1"/>
      <w:marLeft w:val="0"/>
      <w:marRight w:val="0"/>
      <w:marTop w:val="0"/>
      <w:marBottom w:val="0"/>
      <w:divBdr>
        <w:top w:val="none" w:sz="0" w:space="0" w:color="auto"/>
        <w:left w:val="none" w:sz="0" w:space="0" w:color="auto"/>
        <w:bottom w:val="none" w:sz="0" w:space="0" w:color="auto"/>
        <w:right w:val="none" w:sz="0" w:space="0" w:color="auto"/>
      </w:divBdr>
    </w:div>
    <w:div w:id="11076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lopolska.uw.gov.pl/doc/Kopia%20Za&#322;.%20nr%20I.1A%20i%20B-%20wykaz%20grunt&#243;w%20z%20wszystkich%20gmin%20na%20w%20kt&#243;rych%20jest%20gospodarstwo%20rolne.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lopolska.uw.gov.pl/doc/Kopia%20Za&#322;.%20nr%20I.2-I.9-%20do%20wniosku%20rolnika.xls" TargetMode="External"/><Relationship Id="rId5" Type="http://schemas.openxmlformats.org/officeDocument/2006/relationships/hyperlink" Target="https://www.malopolska.uw.gov.pl/doc/Za&#322;.%20nr%20I-%20wniosek%20rolnika.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836</Words>
  <Characters>5016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Białoń</dc:creator>
  <cp:keywords/>
  <dc:description/>
  <cp:lastModifiedBy>Anna Białoń</cp:lastModifiedBy>
  <cp:revision>6</cp:revision>
  <cp:lastPrinted>2019-07-02T09:46:00Z</cp:lastPrinted>
  <dcterms:created xsi:type="dcterms:W3CDTF">2019-07-02T09:04:00Z</dcterms:created>
  <dcterms:modified xsi:type="dcterms:W3CDTF">2019-07-02T10:17:00Z</dcterms:modified>
</cp:coreProperties>
</file>